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2EAE" w14:textId="77777777" w:rsidR="004637EE" w:rsidRDefault="004637EE"/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2623"/>
        <w:gridCol w:w="3701"/>
        <w:gridCol w:w="652"/>
        <w:gridCol w:w="706"/>
        <w:gridCol w:w="619"/>
        <w:gridCol w:w="695"/>
        <w:gridCol w:w="784"/>
      </w:tblGrid>
      <w:tr w:rsidR="00774429" w:rsidRPr="00DB5CDA" w14:paraId="7958F4BF" w14:textId="77777777" w:rsidTr="0046008B">
        <w:trPr>
          <w:trHeight w:val="480"/>
          <w:jc w:val="center"/>
        </w:trPr>
        <w:tc>
          <w:tcPr>
            <w:tcW w:w="26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3992BD4A" w14:textId="77777777" w:rsidR="00774429" w:rsidRPr="00DB5CDA" w:rsidRDefault="00774429" w:rsidP="00334503">
            <w:pPr>
              <w:pStyle w:val="Zhlav"/>
              <w:rPr>
                <w:rFonts w:ascii="Arial" w:hAnsi="Arial" w:cs="Arial"/>
                <w:b/>
              </w:rPr>
            </w:pPr>
          </w:p>
          <w:p w14:paraId="4D74893D" w14:textId="77777777" w:rsidR="00774429" w:rsidRPr="00DB5CDA" w:rsidRDefault="00774429" w:rsidP="00334503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0AC1BC56" w14:textId="77777777" w:rsidR="00774429" w:rsidRPr="00DB5CDA" w:rsidRDefault="00774429" w:rsidP="0033450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4562D42F" w14:textId="77777777" w:rsidR="00774429" w:rsidRPr="00DB5CDA" w:rsidRDefault="00774429" w:rsidP="00334503">
            <w:pPr>
              <w:rPr>
                <w:rFonts w:ascii="Arial" w:hAnsi="Arial" w:cs="Arial"/>
                <w:b/>
              </w:rPr>
            </w:pPr>
          </w:p>
          <w:p w14:paraId="7B72D79A" w14:textId="6A873DBF" w:rsidR="00774429" w:rsidRPr="00DB5CDA" w:rsidRDefault="00774429" w:rsidP="00334503">
            <w:pPr>
              <w:rPr>
                <w:rFonts w:ascii="Arial" w:hAnsi="Arial" w:cs="Arial"/>
                <w:b/>
              </w:rPr>
            </w:pPr>
            <w:r w:rsidRPr="00123BFB">
              <w:rPr>
                <w:rFonts w:ascii="Arial" w:hAnsi="Arial" w:cs="Arial"/>
                <w:b/>
              </w:rPr>
              <w:t xml:space="preserve">Fakultní nemocnice </w:t>
            </w:r>
            <w:r>
              <w:rPr>
                <w:rFonts w:ascii="Arial" w:hAnsi="Arial" w:cs="Arial"/>
                <w:b/>
              </w:rPr>
              <w:t>Bulovka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7FC6288D" w14:textId="4841D880" w:rsidR="00774429" w:rsidRPr="00DB5CDA" w:rsidRDefault="004C5509" w:rsidP="00334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0EA1EE" w14:textId="171C5C5F" w:rsidR="00774429" w:rsidRPr="00DB5CDA" w:rsidRDefault="004C5509" w:rsidP="003345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671946" w14:textId="0C8BE8CF" w:rsidR="00774429" w:rsidRPr="00DB5CDA" w:rsidRDefault="004C5509" w:rsidP="003345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418F56" w14:textId="32E4453F" w:rsidR="00774429" w:rsidRPr="00DB5CDA" w:rsidRDefault="004C5509" w:rsidP="003345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24A849" w14:textId="4C6F0A08" w:rsidR="00774429" w:rsidRPr="00DB5CDA" w:rsidRDefault="004C5509" w:rsidP="003345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774429" w:rsidRPr="00DB5CDA" w14:paraId="200575A5" w14:textId="77777777" w:rsidTr="0046008B">
        <w:trPr>
          <w:trHeight w:val="402"/>
          <w:jc w:val="center"/>
        </w:trPr>
        <w:tc>
          <w:tcPr>
            <w:tcW w:w="26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64B249BB" w14:textId="77777777" w:rsidR="00774429" w:rsidRPr="00DB5CDA" w:rsidRDefault="00774429" w:rsidP="0033450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26C37F00" w14:textId="77777777" w:rsidR="00774429" w:rsidRPr="00DB5CDA" w:rsidRDefault="00774429" w:rsidP="0033450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34EBE457" w14:textId="77777777" w:rsidR="00774429" w:rsidRPr="00DB5CDA" w:rsidRDefault="00774429" w:rsidP="00334503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A3A011" w14:textId="253746C2" w:rsidR="00774429" w:rsidRPr="00DB5CDA" w:rsidRDefault="009503AA" w:rsidP="0033450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408A70" w14:textId="5AE0A11B" w:rsidR="00774429" w:rsidRPr="00DB5CDA" w:rsidRDefault="004C5509" w:rsidP="0033450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  <w:tc>
          <w:tcPr>
            <w:tcW w:w="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0BB17E" w14:textId="76917E98" w:rsidR="00774429" w:rsidRPr="00DB5CDA" w:rsidRDefault="004C5509" w:rsidP="0033450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A5218F" w14:textId="46B27BBD" w:rsidR="00774429" w:rsidRPr="00DB5CDA" w:rsidRDefault="004C5509" w:rsidP="00334503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</w:tr>
      <w:tr w:rsidR="00774429" w:rsidRPr="00924E46" w14:paraId="367F927A" w14:textId="77777777" w:rsidTr="0046008B">
        <w:trPr>
          <w:trHeight w:val="265"/>
          <w:jc w:val="center"/>
        </w:trPr>
        <w:tc>
          <w:tcPr>
            <w:tcW w:w="26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7EF6D0" w14:textId="77777777" w:rsidR="00774429" w:rsidRDefault="00774429" w:rsidP="00334503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CF420E" w14:textId="278E7E21" w:rsidR="00774429" w:rsidRPr="00DB5CDA" w:rsidRDefault="00774429" w:rsidP="0033450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972899">
              <w:rPr>
                <w:rFonts w:ascii="Arial" w:hAnsi="Arial" w:cs="Arial"/>
                <w:b/>
                <w:szCs w:val="22"/>
              </w:rPr>
              <w:t xml:space="preserve">v modulech 1 až 5 je </w:t>
            </w:r>
            <w:r>
              <w:rPr>
                <w:rFonts w:ascii="Arial" w:hAnsi="Arial" w:cs="Arial"/>
                <w:b/>
                <w:szCs w:val="22"/>
              </w:rPr>
              <w:t>C</w:t>
            </w:r>
          </w:p>
        </w:tc>
        <w:tc>
          <w:tcPr>
            <w:tcW w:w="715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876A5A" w14:textId="77777777" w:rsidR="004C5509" w:rsidRDefault="004C5509" w:rsidP="004C5509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510A9DF1" w14:textId="0DB5684F" w:rsidR="004C5509" w:rsidRDefault="004C5509" w:rsidP="004C5509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9503AA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</w:t>
            </w:r>
            <w:r w:rsidR="009503AA">
              <w:rPr>
                <w:rFonts w:ascii="Arial" w:hAnsi="Arial" w:cs="Arial"/>
                <w:b/>
                <w:color w:val="000000" w:themeColor="text1"/>
                <w:szCs w:val="22"/>
              </w:rPr>
              <w:t>C</w:t>
            </w:r>
            <w:proofErr w:type="gramEnd"/>
          </w:p>
          <w:p w14:paraId="132611A5" w14:textId="1D2A8100" w:rsidR="00774429" w:rsidRPr="00924E46" w:rsidRDefault="00774429" w:rsidP="00334503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774429" w:rsidRPr="00924E46" w14:paraId="7DA9E3BC" w14:textId="77777777" w:rsidTr="0046008B">
        <w:trPr>
          <w:trHeight w:val="265"/>
          <w:jc w:val="center"/>
        </w:trPr>
        <w:tc>
          <w:tcPr>
            <w:tcW w:w="2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231A40" w14:textId="77777777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8B2F179" w14:textId="77777777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3E6A233" w14:textId="231A5CCD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C</w:t>
            </w:r>
          </w:p>
          <w:p w14:paraId="41E94017" w14:textId="77777777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C4C89B9" w14:textId="77777777" w:rsidR="00774429" w:rsidRPr="00DB5CDA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57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6C7740" w14:textId="036F5F4B" w:rsidR="00972899" w:rsidRPr="002C775D" w:rsidRDefault="00972899" w:rsidP="009503A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VO provádí aplikovaný zdravotnický výzkum. 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Pět nejvýznamnějších projektů, které VO vybrala jsou grantové projekty s podporou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MZd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>, přičemž u 3 z nich je VO v roli hlavního příjemce, a které se vždy tematicky zaměřují na jinou oblast biomedicínského výzkumu. Z celkového počtu projektů lze vyčíst, že se jedná dominantně o projekty podpořené cestou AZV/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MZd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>, a z dodaných podkladů není zřejmé kde je F</w:t>
            </w:r>
            <w:r w:rsidR="001557B6">
              <w:rPr>
                <w:rFonts w:ascii="Arial" w:hAnsi="Arial" w:cs="Arial"/>
                <w:color w:val="000000" w:themeColor="text1"/>
              </w:rPr>
              <w:t>akultní nemocnice Bulovka (</w:t>
            </w:r>
            <w:proofErr w:type="spellStart"/>
            <w:r w:rsidR="001557B6">
              <w:rPr>
                <w:rFonts w:ascii="Arial" w:hAnsi="Arial" w:cs="Arial"/>
                <w:color w:val="000000" w:themeColor="text1"/>
              </w:rPr>
              <w:t>F</w:t>
            </w:r>
            <w:r w:rsidRPr="002C775D">
              <w:rPr>
                <w:rFonts w:ascii="Arial" w:hAnsi="Arial" w:cs="Arial"/>
                <w:color w:val="000000" w:themeColor="text1"/>
              </w:rPr>
              <w:t>NB</w:t>
            </w:r>
            <w:r w:rsidR="001557B6">
              <w:rPr>
                <w:rFonts w:ascii="Arial" w:hAnsi="Arial" w:cs="Arial"/>
                <w:color w:val="000000" w:themeColor="text1"/>
              </w:rPr>
              <w:t>u</w:t>
            </w:r>
            <w:proofErr w:type="spellEnd"/>
            <w:r w:rsidR="001557B6">
              <w:rPr>
                <w:rFonts w:ascii="Arial" w:hAnsi="Arial" w:cs="Arial"/>
                <w:color w:val="000000" w:themeColor="text1"/>
              </w:rPr>
              <w:t>)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 hlavním příjemcem a kde je pouze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spolupříjemcem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>, u většina projektů se ovšem</w:t>
            </w:r>
            <w:r w:rsidR="0065542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C775D">
              <w:rPr>
                <w:rFonts w:ascii="Arial" w:hAnsi="Arial" w:cs="Arial"/>
                <w:color w:val="000000" w:themeColor="text1"/>
              </w:rPr>
              <w:t>podíl</w:t>
            </w:r>
            <w:r w:rsidR="0065542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65542B">
              <w:rPr>
                <w:rFonts w:ascii="Arial" w:hAnsi="Arial" w:cs="Arial"/>
                <w:color w:val="000000" w:themeColor="text1"/>
              </w:rPr>
              <w:t>FNBu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na rozpočtu pohybuje v rozmezí 10-30</w:t>
            </w:r>
            <w:r w:rsidR="009503A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C775D">
              <w:rPr>
                <w:rFonts w:ascii="Arial" w:hAnsi="Arial" w:cs="Arial"/>
                <w:color w:val="000000" w:themeColor="text1"/>
              </w:rPr>
              <w:t>%. Kromě toho VO uvádí také projekty podpořen</w:t>
            </w:r>
            <w:r w:rsidR="0065542B">
              <w:rPr>
                <w:rFonts w:ascii="Arial" w:hAnsi="Arial" w:cs="Arial"/>
                <w:color w:val="000000" w:themeColor="text1"/>
              </w:rPr>
              <w:t>é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 cestou interní grantové agentury, což v této části není relevantní, protože si tuto podporu VO přidělila sama skrze DKRVO. Celkový počet projektů je ve srovnání s jinými VO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MZd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nízký a omezuje se výhradně na podporu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MZd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3C27B9F4" w14:textId="127C0243" w:rsidR="00972899" w:rsidRPr="002C775D" w:rsidRDefault="00972899" w:rsidP="009503A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C775D">
              <w:rPr>
                <w:rFonts w:ascii="Arial" w:hAnsi="Arial" w:cs="Arial"/>
                <w:color w:val="000000" w:themeColor="text1"/>
              </w:rPr>
              <w:t xml:space="preserve">V oblasti nejvýznamnějších výsledků s ekonomickým dopadem uvádí VO jeden užitný vzor a související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impaktovou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publikaci Q1, dále jsou uvedeny dvě originální práce D1 a dvě originální práce publikované v časopisech Q2, ve všech případech je prvním autorem zaměstnanec VO. Bohužel ani v jednom případě není vyhodnocen či odhadnut možný ekonomický dopad výsledku, pouze naznačen možný význam pro klinickou praxi či shrnuta vlastní pozorování. Což indikuje spíše výběr výsledků s ohledem na jejich kvalitu než na možný ekonomický dopad. Co se týká výsledků se společenským dopadem tak ve všech případech se jedná o odborné publikace zveřejněné v časopisech Q2, přičemž ve 2 případech nezastává autor z </w:t>
            </w:r>
            <w:proofErr w:type="spellStart"/>
            <w:r w:rsidR="0065542B">
              <w:rPr>
                <w:rFonts w:ascii="Arial" w:hAnsi="Arial" w:cs="Arial"/>
                <w:color w:val="000000" w:themeColor="text1"/>
              </w:rPr>
              <w:t>FNBu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v týmu významnou pozici. Zdůvodnění společenského dopadu je nedostatečné a omezuje se pouze na souhrn cílů a výsledků vlastních prací.</w:t>
            </w:r>
          </w:p>
          <w:p w14:paraId="5B15881A" w14:textId="5BEF7D03" w:rsidR="00972899" w:rsidRDefault="00972899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2C775D">
              <w:rPr>
                <w:rFonts w:ascii="Arial" w:hAnsi="Arial" w:cs="Arial"/>
                <w:color w:val="000000" w:themeColor="text1"/>
              </w:rPr>
              <w:t xml:space="preserve">V části významná ocenění pracovníků, kde měl být vybráno pět nejvýznamnějších ocenění, uvádí VO ocenění deset, tedy nejspíše všechna v hodnoceném období. Až na ocenění </w:t>
            </w:r>
            <w:r w:rsidR="0065542B">
              <w:rPr>
                <w:rFonts w:ascii="Arial" w:hAnsi="Arial" w:cs="Arial"/>
                <w:color w:val="000000" w:themeColor="text1"/>
              </w:rPr>
              <w:t>č</w:t>
            </w:r>
            <w:r w:rsidR="0065542B" w:rsidRPr="002C775D">
              <w:rPr>
                <w:rFonts w:ascii="Arial" w:hAnsi="Arial" w:cs="Arial"/>
                <w:color w:val="000000" w:themeColor="text1"/>
              </w:rPr>
              <w:t>estný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 profesor Rumunské společnosti plastické chirurgie, se jedná </w:t>
            </w:r>
            <w:r w:rsidR="0065542B">
              <w:rPr>
                <w:rFonts w:ascii="Arial" w:hAnsi="Arial" w:cs="Arial"/>
                <w:color w:val="000000" w:themeColor="text1"/>
              </w:rPr>
              <w:t xml:space="preserve">o 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ocenění tuzemská, z čehož 2x nejlepší publikace za rok v časopise Acta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Chir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Orthop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Traumatol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5542B">
              <w:rPr>
                <w:rFonts w:ascii="Arial" w:hAnsi="Arial" w:cs="Arial"/>
                <w:color w:val="000000" w:themeColor="text1"/>
              </w:rPr>
              <w:t>Cech.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, či ocenění za spoluautorství (kapitoly) Cena Jana Evangelisty Purkyně za 3. aktualizované vydání monografie Preventivní medicína. Členství ve významných orgánech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, je omezeno především na lokální orgány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(s výjimkou prof.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Chomiaka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), s minimálním přesahem směrem k mezinárodním odborných společnostem. Pozitivně je třeba hodnotit aktivní zapojení pracovníků VO do činnosti AZV ČR. </w:t>
            </w:r>
            <w:r w:rsidRPr="002C775D">
              <w:rPr>
                <w:rFonts w:ascii="Arial" w:hAnsi="Arial" w:cs="Arial"/>
                <w:color w:val="000000" w:themeColor="text1"/>
                <w:lang w:eastAsia="en-GB"/>
              </w:rPr>
              <w:t>Výběr výsledků pro hodnocení v M3 není optimální a společenské a ekonomické dopady těchto výsledků jsou nedostatečně formulovány.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C775D">
              <w:rPr>
                <w:rFonts w:ascii="Arial" w:hAnsi="Arial" w:cs="Arial"/>
                <w:color w:val="000000" w:themeColor="text1"/>
                <w:lang w:eastAsia="en-GB"/>
              </w:rPr>
              <w:t xml:space="preserve">Rozsah a kvalita aplikovaného výzkumu v hodnoceném období </w:t>
            </w:r>
            <w:r w:rsidR="0065542B">
              <w:rPr>
                <w:rFonts w:ascii="Arial" w:hAnsi="Arial" w:cs="Arial"/>
                <w:color w:val="000000" w:themeColor="text1"/>
                <w:lang w:eastAsia="en-GB"/>
              </w:rPr>
              <w:t xml:space="preserve">a společenská relevance činnosti VO </w:t>
            </w:r>
            <w:r w:rsidRPr="002C775D">
              <w:rPr>
                <w:rFonts w:ascii="Arial" w:hAnsi="Arial" w:cs="Arial"/>
                <w:color w:val="000000" w:themeColor="text1"/>
                <w:lang w:eastAsia="en-GB"/>
              </w:rPr>
              <w:t xml:space="preserve">je na průměrné úrovni (C). </w:t>
            </w:r>
          </w:p>
          <w:p w14:paraId="7C0E9383" w14:textId="77777777" w:rsidR="00AE473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</w:p>
          <w:p w14:paraId="46F1FDC8" w14:textId="77777777" w:rsidR="00AE4733" w:rsidRPr="00AE4733" w:rsidRDefault="00AE4733" w:rsidP="009503AA">
            <w:pPr>
              <w:jc w:val="both"/>
              <w:rPr>
                <w:rFonts w:ascii="Arial" w:hAnsi="Arial" w:cs="Arial"/>
              </w:rPr>
            </w:pPr>
          </w:p>
          <w:p w14:paraId="7C27394E" w14:textId="68E95EFF" w:rsidR="00AE4733" w:rsidRPr="00AE4733" w:rsidRDefault="00AE4733" w:rsidP="009503AA">
            <w:pPr>
              <w:jc w:val="both"/>
              <w:rPr>
                <w:rFonts w:ascii="Arial" w:hAnsi="Arial" w:cs="Arial"/>
                <w:i/>
                <w:iCs/>
              </w:rPr>
            </w:pPr>
            <w:r w:rsidRPr="00AE4733">
              <w:rPr>
                <w:rFonts w:ascii="Arial" w:hAnsi="Arial" w:cs="Arial"/>
                <w:i/>
                <w:iCs/>
              </w:rPr>
              <w:t xml:space="preserve">Realizace projektů ve VO v hodnoceném období byla ve shodě se vstupním hodnocením. V oblasti ekonomického dopadu byly uvedeny dvě publikace. Cestou přílohy byl proveden pokus o odhad </w:t>
            </w:r>
            <w:r w:rsidRPr="00AE4733">
              <w:rPr>
                <w:rFonts w:ascii="Arial" w:hAnsi="Arial" w:cs="Arial"/>
                <w:i/>
                <w:iCs/>
              </w:rPr>
              <w:lastRenderedPageBreak/>
              <w:t>ekonomického dopadu. V oblasti společenského dopadu byla uvedena jedna publikace, taktéž s přílohou vyhodnocující její spíše ekonomický než společenský dopad. Nicméně, tuto snahu je nutné hodnotit pozitivně, jde o zlepšení oproti vstupnímu hodnocení VO. Zastoupení v orgánech AZV (2 pracovníci) a v mezinárodních organizacích – EFORT, ICOT, zejména z oboru ortopedie</w:t>
            </w:r>
            <w:r w:rsidR="004A65D3">
              <w:rPr>
                <w:rFonts w:ascii="Arial" w:hAnsi="Arial" w:cs="Arial"/>
                <w:i/>
                <w:iCs/>
              </w:rPr>
              <w:t>.</w:t>
            </w:r>
          </w:p>
          <w:p w14:paraId="07CE5DD3" w14:textId="77777777" w:rsidR="00AE4733" w:rsidRPr="00AE4733" w:rsidRDefault="00AE4733" w:rsidP="009503AA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26800DD" w14:textId="1CE8380D" w:rsidR="00AE4733" w:rsidRPr="00AE473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i/>
                <w:iCs/>
                <w:color w:val="000000" w:themeColor="text1"/>
                <w:lang w:eastAsia="en-GB"/>
              </w:rPr>
            </w:pPr>
            <w:r w:rsidRPr="00AE4733">
              <w:rPr>
                <w:rFonts w:ascii="Arial" w:hAnsi="Arial" w:cs="Arial"/>
                <w:i/>
                <w:iCs/>
                <w:color w:val="000000" w:themeColor="text1"/>
                <w:lang w:eastAsia="en-GB"/>
              </w:rPr>
              <w:t xml:space="preserve">Průběžné hodnocení odpovídá stavu v době škálování s pozitivním trendem – hodnocení C </w:t>
            </w:r>
          </w:p>
          <w:p w14:paraId="30B0BA6A" w14:textId="77777777" w:rsidR="00AE4733" w:rsidRPr="00AE473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i/>
                <w:iCs/>
                <w:color w:val="000000" w:themeColor="text1"/>
                <w:lang w:eastAsia="en-GB"/>
              </w:rPr>
            </w:pPr>
          </w:p>
          <w:p w14:paraId="323041E3" w14:textId="77777777" w:rsidR="00AE4733" w:rsidRPr="002C775D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F4C501B" w14:textId="75776310" w:rsidR="00972899" w:rsidRPr="00924E46" w:rsidRDefault="00972899" w:rsidP="009503AA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774429" w14:paraId="11CEA831" w14:textId="77777777" w:rsidTr="0046008B">
        <w:trPr>
          <w:trHeight w:val="265"/>
          <w:jc w:val="center"/>
        </w:trPr>
        <w:tc>
          <w:tcPr>
            <w:tcW w:w="2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92B1E2" w14:textId="77777777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B</w:t>
            </w:r>
          </w:p>
          <w:p w14:paraId="0BBF1E6B" w14:textId="77777777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DFEB754" w14:textId="77777777" w:rsidR="00774429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FCBDDCA" w14:textId="77777777" w:rsidR="00774429" w:rsidRPr="00DB5CDA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57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5C78D4" w14:textId="39A70215" w:rsidR="00D74552" w:rsidRPr="002C775D" w:rsidRDefault="00D74552" w:rsidP="009503AA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VO má standardizovanou a velice dobře popsanou strukturu řízení a procesů pro oblast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VaVaI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. Členem vrcholného vedení FNB je Náměstkyně pro vědu a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výzkum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a grantovou činnost (NVV). NVV vytváří koncepci a strategické plány vědecké činnost FNB v oblasti aplikovaného zdravotnického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výzkumu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a spolupráce v oblasti základního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výzkumu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. Je tajemníkem Vědecké rady FNB. NVV přímo řídí Oddělení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klinických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studií a grantů (OKSG) a Středisko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vědeckých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informací (SVI). Poradním orgánem ředitele nemocnice je Etická komise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FNB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. Poradním orgánem ředitele nemocnice je Vědecká rada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FNB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. </w:t>
            </w:r>
          </w:p>
          <w:p w14:paraId="37943150" w14:textId="713DAC79" w:rsidR="00D74552" w:rsidRPr="002C775D" w:rsidRDefault="00D74552" w:rsidP="009503AA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Dotace na DKRVO ve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FNB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byla alokována v letech 2018-2022 v souladu s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platným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4527C2" w:rsidRPr="002C775D">
              <w:rPr>
                <w:rFonts w:ascii="Arial" w:hAnsi="Arial" w:cs="Arial"/>
                <w:color w:val="000000" w:themeColor="text1"/>
                <w:szCs w:val="22"/>
              </w:rPr>
              <w:t>Metodickým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pokynem. Od roku 2021 a v hodnoticím období (2023-2027) bude DKRVO využívána zejména na podporu Interní grantové soutěže (IGS) a pro publikující autory podle metodiky uvedené v Metodickém pokynu. Metodické pokyny i interní grantová soutěž mají standardní formát (posouzení VR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FNB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na základě definovaných kritérií) a umožňují zcela transparentní a rovné podmínky pro výzkumné pracovníky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FNB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v přístupu k prostředkům DKRVO. Do rozvoje infrastruktury v následujícím období VO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FNB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neplánuje využití dotace na DRKVO.</w:t>
            </w:r>
          </w:p>
          <w:p w14:paraId="4B348ACD" w14:textId="0C1E0AFE" w:rsidR="00D74552" w:rsidRPr="002C775D" w:rsidRDefault="00D74552" w:rsidP="009503AA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Z hlediska struktury dotace, šlo přibližně </w:t>
            </w:r>
            <w:proofErr w:type="gram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25%</w:t>
            </w:r>
            <w:proofErr w:type="gram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na personální náklady, 16% na provozní náklady, a 44% na rozvoj infrastruktury. Podobná struktura je plánována i na následující období, s navýšením personálních a provozních nákladů na úkor nákladů investičních. VO uvádí celkové počty komerčních KHLP, za dobrou praxi lze jednoznačně považovat část zisků z této činnosti alokovat na podporu 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 xml:space="preserve">nekomerčních 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>KHL</w:t>
            </w:r>
            <w:r w:rsidR="004527C2">
              <w:rPr>
                <w:rFonts w:ascii="Arial" w:hAnsi="Arial" w:cs="Arial"/>
                <w:color w:val="000000" w:themeColor="text1"/>
                <w:szCs w:val="22"/>
              </w:rPr>
              <w:t>P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. </w:t>
            </w:r>
            <w:r w:rsidRPr="002C775D">
              <w:rPr>
                <w:rFonts w:ascii="Arial" w:hAnsi="Arial" w:cs="Arial"/>
                <w:szCs w:val="22"/>
              </w:rPr>
              <w:t>Příjmy z účelové podpory byly v hodnocen</w:t>
            </w:r>
            <w:r w:rsidR="004527C2">
              <w:rPr>
                <w:rFonts w:ascii="Arial" w:hAnsi="Arial" w:cs="Arial"/>
                <w:szCs w:val="22"/>
              </w:rPr>
              <w:t>é</w:t>
            </w:r>
            <w:r w:rsidRPr="002C775D">
              <w:rPr>
                <w:rFonts w:ascii="Arial" w:hAnsi="Arial" w:cs="Arial"/>
                <w:szCs w:val="22"/>
              </w:rPr>
              <w:t xml:space="preserve">m období </w:t>
            </w:r>
            <w:proofErr w:type="gramStart"/>
            <w:r w:rsidRPr="002C775D">
              <w:rPr>
                <w:rFonts w:ascii="Arial" w:hAnsi="Arial" w:cs="Arial"/>
                <w:szCs w:val="22"/>
              </w:rPr>
              <w:t>55%</w:t>
            </w:r>
            <w:proofErr w:type="gramEnd"/>
            <w:r w:rsidRPr="002C775D">
              <w:rPr>
                <w:rFonts w:ascii="Arial" w:hAnsi="Arial" w:cs="Arial"/>
                <w:szCs w:val="22"/>
              </w:rPr>
              <w:t xml:space="preserve"> (ze zahraničních projektů 0), DKRVO činila celkem 45%. </w:t>
            </w:r>
          </w:p>
          <w:p w14:paraId="39BDB1EA" w14:textId="2F15D671" w:rsidR="00D74552" w:rsidRPr="002C775D" w:rsidRDefault="00D74552" w:rsidP="009503AA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Personální rozvoj v oblasti grantů a klinických studií je nezbytná a nedílná součást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celonemocniční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personální vize a strategie. VO usiluje o genderovou rovnost (VO má kvalitně zpracovaný GEP). Cíle jsou uveřejněné, jsou součástí metodického pokynu Etické normy a zlepšování organizační struktury. Ve výzkumných týmech </w:t>
            </w:r>
            <w:proofErr w:type="spellStart"/>
            <w:r w:rsidR="004527C2">
              <w:rPr>
                <w:rFonts w:ascii="Arial" w:hAnsi="Arial" w:cs="Arial"/>
                <w:color w:val="000000" w:themeColor="text1"/>
                <w:szCs w:val="22"/>
              </w:rPr>
              <w:t>FNBu</w:t>
            </w:r>
            <w:proofErr w:type="spellEnd"/>
            <w:r w:rsidR="004527C2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v tuto chvíli nejsou zahraniční pracovníci, což by VO uvítala. V oblasti HR vědeckých kapacit neuvádí žádnou strategii dalšího rozvoje např. snaha o certifikaci HR </w:t>
            </w:r>
            <w:proofErr w:type="spellStart"/>
            <w:proofErr w:type="gram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Award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,</w:t>
            </w:r>
            <w:proofErr w:type="gram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tj HR Excellence in Research, apod. Celkem 7 vedoucích výzkumných pracovníků z toho 0 žen, pozitivní je nárůst počtu výzkumných pracovníků v hodnoceném období z 3 na 10. Pozitivně je třeba hodnotit také nárůst PhD studentů z 6 na 9. Celkově je rozsah personálních kapacit věnujících se problematice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VaVaI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spíše nízký.</w:t>
            </w:r>
          </w:p>
          <w:p w14:paraId="3D5F36E0" w14:textId="77777777" w:rsidR="00D74552" w:rsidRPr="002C775D" w:rsidRDefault="00D74552" w:rsidP="009503AA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VO deklaruje, že výzkumná infrastruktura je pravidelně obnovována a rozvíjena a uvádí seznam investic realizovaný v hodnoceném období. Současně VO neuvádí žádnou metodiku, kterou by monitorovala </w:t>
            </w:r>
            <w:r w:rsidRPr="002C775D">
              <w:rPr>
                <w:rFonts w:ascii="Arial" w:hAnsi="Arial" w:cs="Arial"/>
                <w:color w:val="000000" w:themeColor="text1"/>
                <w:szCs w:val="22"/>
              </w:rPr>
              <w:lastRenderedPageBreak/>
              <w:t xml:space="preserve">infrastrukturní potřeby jednotlivých pracovišť/výzkumných týmů pro jejich výzkumnou činnost a potažmo metodiku jejich prioritizace pro realizaci investičních záměrů. Systém výběrů vhodných investic pro oblast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VaVaI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 se tak může výzkumníkům dané VO jevit jako netransparentní. </w:t>
            </w:r>
          </w:p>
          <w:p w14:paraId="08C8F330" w14:textId="77777777" w:rsidR="00D74552" w:rsidRPr="002C775D" w:rsidRDefault="00D74552" w:rsidP="009503AA">
            <w:pPr>
              <w:tabs>
                <w:tab w:val="left" w:pos="910"/>
              </w:tabs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Spolupráce s českými i zahraničními partnery je doložena přehlednými tabulkami. Bohužel v případě tuzemské spolupráce se jedná výhradně o projekty účelové podpory podpořené cestou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  <w:szCs w:val="22"/>
              </w:rPr>
              <w:t>MZd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  <w:szCs w:val="22"/>
              </w:rPr>
              <w:t xml:space="preserve">. Mezinárodní spolupráce byla doložena pouze třemi projekty, přičemž všechny byly bez přidělené finanční podpory. VO má dva projekty založené na spolupráci s českou státní správou a relevantními mezinárodními organizacemi, konkrétně s FIFA a FAČR. VO neuvádí žádná nekomerční klinická hodnocení v roli zadavatele. </w:t>
            </w:r>
          </w:p>
          <w:p w14:paraId="20263AAD" w14:textId="48F30270" w:rsidR="00D74552" w:rsidRPr="002C775D" w:rsidRDefault="00D74552" w:rsidP="009503AA">
            <w:pPr>
              <w:jc w:val="both"/>
              <w:rPr>
                <w:rFonts w:ascii="Arial" w:hAnsi="Arial" w:cs="Arial"/>
                <w:szCs w:val="22"/>
              </w:rPr>
            </w:pPr>
            <w:r w:rsidRPr="002C775D">
              <w:rPr>
                <w:rFonts w:ascii="Arial" w:hAnsi="Arial" w:cs="Arial"/>
                <w:szCs w:val="22"/>
              </w:rPr>
              <w:t xml:space="preserve">Mobilita výzkumných pracovníků, ať již ve smyslu příjezdů (celkem 0) nebo výjezdů (celkem 15) byla spíše omezená, ale je třeba uvést, že v hodnocením období bylo cestování jistě poznamenáno pandemickou situaci. Podobná situace je ve většině VO </w:t>
            </w:r>
            <w:proofErr w:type="spellStart"/>
            <w:r w:rsidRPr="002C775D">
              <w:rPr>
                <w:rFonts w:ascii="Arial" w:hAnsi="Arial" w:cs="Arial"/>
                <w:szCs w:val="22"/>
              </w:rPr>
              <w:t>MZd</w:t>
            </w:r>
            <w:proofErr w:type="spellEnd"/>
            <w:r w:rsidRPr="002C775D">
              <w:rPr>
                <w:rFonts w:ascii="Arial" w:hAnsi="Arial" w:cs="Arial"/>
                <w:szCs w:val="22"/>
              </w:rPr>
              <w:t xml:space="preserve">. Nicméně není dostatečně detailně </w:t>
            </w:r>
            <w:r w:rsidR="004527C2" w:rsidRPr="002C775D">
              <w:rPr>
                <w:rFonts w:ascii="Arial" w:hAnsi="Arial" w:cs="Arial"/>
                <w:szCs w:val="22"/>
              </w:rPr>
              <w:t>popsáno,</w:t>
            </w:r>
            <w:r w:rsidRPr="002C775D">
              <w:rPr>
                <w:rFonts w:ascii="Arial" w:hAnsi="Arial" w:cs="Arial"/>
                <w:szCs w:val="22"/>
              </w:rPr>
              <w:t xml:space="preserve"> jakou strategii VO má, aby v této oblasti došlo ke zlepšení. </w:t>
            </w:r>
          </w:p>
          <w:p w14:paraId="75A5C833" w14:textId="336268E0" w:rsidR="00D74552" w:rsidRPr="002C775D" w:rsidRDefault="00D74552" w:rsidP="009503AA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</w:rPr>
            </w:pPr>
            <w:r w:rsidRPr="002C775D">
              <w:rPr>
                <w:rFonts w:ascii="Arial" w:hAnsi="Arial" w:cs="Arial"/>
              </w:rPr>
              <w:t xml:space="preserve">Podpůrným orgánem v oblasti transferu ve </w:t>
            </w:r>
            <w:proofErr w:type="spellStart"/>
            <w:r w:rsidRPr="002C775D">
              <w:rPr>
                <w:rFonts w:ascii="Arial" w:hAnsi="Arial" w:cs="Arial"/>
              </w:rPr>
              <w:t>FNB</w:t>
            </w:r>
            <w:r w:rsidR="004527C2">
              <w:rPr>
                <w:rFonts w:ascii="Arial" w:hAnsi="Arial" w:cs="Arial"/>
              </w:rPr>
              <w:t>u</w:t>
            </w:r>
            <w:proofErr w:type="spellEnd"/>
            <w:r w:rsidRPr="002C775D">
              <w:rPr>
                <w:rFonts w:ascii="Arial" w:hAnsi="Arial" w:cs="Arial"/>
              </w:rPr>
              <w:t xml:space="preserve"> je Středisko vědeckých informací FNB (SVI). VO popsala obecné strategie, které v oblasti spolupráce s aplikační sférou a transferu znalostí uplatňuje, a také partnery, se kterými spolupracuje. Mezi nimi jsou bohužel pouze pracoviště VŠ a AVČR a žádný zástupce z průmyslového sektoru. </w:t>
            </w:r>
            <w:proofErr w:type="spellStart"/>
            <w:r w:rsidR="004527C2">
              <w:rPr>
                <w:rFonts w:ascii="Arial" w:hAnsi="Arial" w:cs="Arial"/>
              </w:rPr>
              <w:t>FNBu</w:t>
            </w:r>
            <w:proofErr w:type="spellEnd"/>
            <w:r w:rsidRPr="002C775D">
              <w:rPr>
                <w:rFonts w:ascii="Arial" w:hAnsi="Arial" w:cs="Arial"/>
              </w:rPr>
              <w:t xml:space="preserve"> neuvedla konkrétně partnery, se kterými již proběhla nebo probíhá spolupráce, kvalitu spolupráce v této oblasti tedy není možné vyhodnotit. VO uvádí, že za velmi úspěšný transfer vědeckých znalostí považují, že léčebná látka </w:t>
            </w:r>
            <w:proofErr w:type="spellStart"/>
            <w:r w:rsidRPr="002C775D">
              <w:rPr>
                <w:rFonts w:ascii="Arial" w:hAnsi="Arial" w:cs="Arial"/>
              </w:rPr>
              <w:t>Minoxidil</w:t>
            </w:r>
            <w:proofErr w:type="spellEnd"/>
            <w:r w:rsidRPr="002C775D">
              <w:rPr>
                <w:rFonts w:ascii="Arial" w:hAnsi="Arial" w:cs="Arial"/>
              </w:rPr>
              <w:t xml:space="preserve"> a MMP2 používaná při konzervativní léčbě vrozené deformity nohy získala užitný vzor. Toto ovšem není dále rozvedeno, ani ve smyslu komercionalizace, šíře užití a celkového dopadu.</w:t>
            </w:r>
          </w:p>
          <w:p w14:paraId="73FE460F" w14:textId="615E2653" w:rsidR="00D74552" w:rsidRPr="002C775D" w:rsidRDefault="00D74552" w:rsidP="009503AA">
            <w:pPr>
              <w:pStyle w:val="Zkladntext1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C775D">
              <w:rPr>
                <w:rFonts w:ascii="Arial" w:hAnsi="Arial" w:cs="Arial"/>
              </w:rPr>
              <w:t xml:space="preserve">Problematika správné vědecké praxe a etiky vědecké práce je VO řešena na velice dobré úrovni, přičemž zřizuje pro tuto oblast příslušné orgány. </w:t>
            </w:r>
            <w:proofErr w:type="spellStart"/>
            <w:r w:rsidRPr="002C775D">
              <w:rPr>
                <w:rFonts w:ascii="Arial" w:hAnsi="Arial" w:cs="Arial"/>
              </w:rPr>
              <w:t>FNB</w:t>
            </w:r>
            <w:r w:rsidR="004527C2">
              <w:rPr>
                <w:rFonts w:ascii="Arial" w:hAnsi="Arial" w:cs="Arial"/>
              </w:rPr>
              <w:t>u</w:t>
            </w:r>
            <w:proofErr w:type="spellEnd"/>
            <w:r w:rsidRPr="002C775D">
              <w:rPr>
                <w:rFonts w:ascii="Arial" w:hAnsi="Arial" w:cs="Arial"/>
              </w:rPr>
              <w:t xml:space="preserve"> implementuje pravidla v rámci svých základních dokumentů a metodických pokynů k problematice </w:t>
            </w:r>
            <w:proofErr w:type="spellStart"/>
            <w:r w:rsidRPr="002C775D">
              <w:rPr>
                <w:rFonts w:ascii="Arial" w:hAnsi="Arial" w:cs="Arial"/>
              </w:rPr>
              <w:t>VaVaI</w:t>
            </w:r>
            <w:proofErr w:type="spellEnd"/>
            <w:r w:rsidRPr="002C775D">
              <w:rPr>
                <w:rFonts w:ascii="Arial" w:hAnsi="Arial" w:cs="Arial"/>
              </w:rPr>
              <w:t>, které stanovují základní etický rámec vědecké a výzkumné práce, viz přílohy.</w:t>
            </w:r>
          </w:p>
          <w:p w14:paraId="7CD29F1D" w14:textId="73F12CE5" w:rsidR="00D74552" w:rsidRDefault="00D74552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2C775D">
              <w:rPr>
                <w:rFonts w:ascii="Arial" w:hAnsi="Arial" w:cs="Arial"/>
                <w:szCs w:val="22"/>
              </w:rPr>
              <w:t>FNB</w:t>
            </w:r>
            <w:r w:rsidR="004527C2">
              <w:rPr>
                <w:rFonts w:ascii="Arial" w:hAnsi="Arial" w:cs="Arial"/>
                <w:szCs w:val="22"/>
              </w:rPr>
              <w:t>u</w:t>
            </w:r>
            <w:proofErr w:type="spellEnd"/>
            <w:r w:rsidRPr="002C775D">
              <w:rPr>
                <w:rFonts w:ascii="Arial" w:hAnsi="Arial" w:cs="Arial"/>
                <w:szCs w:val="22"/>
              </w:rPr>
              <w:t xml:space="preserve"> ve velice aktivní v oblasti pregraduálního, postgraduálního a specializačního vzdělávání (spolupráce s IPVZ). Tyto aktivity je třeba hodnotit velice pozitivně. Větší pozornost by si zasloužila oblast diseminace vlastních výsledků vědecké práce a jejich popularizace směrem k široké veřejnosti.</w:t>
            </w:r>
            <w:r>
              <w:rPr>
                <w:rFonts w:ascii="Arial" w:hAnsi="Arial" w:cs="Arial"/>
                <w:szCs w:val="22"/>
              </w:rPr>
              <w:t xml:space="preserve"> Celkově je </w:t>
            </w:r>
            <w:proofErr w:type="spellStart"/>
            <w:r>
              <w:rPr>
                <w:rFonts w:ascii="Arial" w:hAnsi="Arial" w:cs="Arial"/>
                <w:szCs w:val="22"/>
              </w:rPr>
              <w:t>viabilita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VO hodnocena jako velmi dobrá (B).</w:t>
            </w:r>
          </w:p>
          <w:p w14:paraId="6EDF8B82" w14:textId="77777777" w:rsidR="00AE473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0AA2537C" w14:textId="77777777" w:rsidR="00AE4733" w:rsidRPr="004A65D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i/>
                <w:iCs/>
                <w:szCs w:val="22"/>
              </w:rPr>
            </w:pPr>
          </w:p>
          <w:p w14:paraId="35EB703E" w14:textId="35331C2A" w:rsidR="00AE4733" w:rsidRPr="004A65D3" w:rsidRDefault="00AE4733" w:rsidP="009503AA">
            <w:pPr>
              <w:jc w:val="both"/>
              <w:rPr>
                <w:rFonts w:ascii="Arial" w:hAnsi="Arial" w:cs="Arial"/>
                <w:i/>
                <w:iCs/>
                <w:szCs w:val="22"/>
              </w:rPr>
            </w:pPr>
            <w:r w:rsidRPr="004A65D3">
              <w:rPr>
                <w:rFonts w:ascii="Arial" w:hAnsi="Arial" w:cs="Arial"/>
                <w:i/>
                <w:iCs/>
                <w:color w:val="000000"/>
                <w:szCs w:val="22"/>
              </w:rPr>
              <w:t xml:space="preserve">Organizační schéma na řízení a podporu </w:t>
            </w:r>
            <w:proofErr w:type="spellStart"/>
            <w:r w:rsidRPr="004A65D3">
              <w:rPr>
                <w:rFonts w:ascii="Arial" w:hAnsi="Arial" w:cs="Arial"/>
                <w:i/>
                <w:iCs/>
                <w:color w:val="000000"/>
                <w:szCs w:val="22"/>
              </w:rPr>
              <w:t>VaVaI</w:t>
            </w:r>
            <w:proofErr w:type="spellEnd"/>
            <w:r w:rsidRPr="004A65D3">
              <w:rPr>
                <w:rFonts w:ascii="Arial" w:hAnsi="Arial" w:cs="Arial"/>
                <w:i/>
                <w:iCs/>
                <w:color w:val="000000"/>
                <w:szCs w:val="22"/>
              </w:rPr>
              <w:t xml:space="preserve"> bylo ve shodě se vstupním hodnocením. Dotace DKRVO tvořila 39 % příjmů na podporu výzkum. Zcela chyběly příjmy z projektů podpořených z veřejných zahraničních zdrojů a ze soukromých tuzemských a zahraničních zdrojů. Uskutečněná mobilita byla velmi limitovaná</w:t>
            </w:r>
            <w:r w:rsidR="004A65D3" w:rsidRPr="004A65D3">
              <w:rPr>
                <w:rFonts w:ascii="Arial" w:hAnsi="Arial" w:cs="Arial"/>
                <w:i/>
                <w:iCs/>
                <w:color w:val="000000"/>
                <w:szCs w:val="22"/>
              </w:rPr>
              <w:t xml:space="preserve">. </w:t>
            </w:r>
          </w:p>
          <w:p w14:paraId="10D9C78B" w14:textId="77777777" w:rsidR="00AE4733" w:rsidRPr="004A65D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i/>
                <w:iCs/>
                <w:szCs w:val="22"/>
              </w:rPr>
            </w:pPr>
          </w:p>
          <w:p w14:paraId="03B10795" w14:textId="23F5BA72" w:rsidR="00AE4733" w:rsidRPr="00AE473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i/>
                <w:iCs/>
                <w:szCs w:val="22"/>
              </w:rPr>
            </w:pPr>
            <w:r w:rsidRPr="00AE4733">
              <w:rPr>
                <w:rFonts w:ascii="Arial" w:hAnsi="Arial" w:cs="Arial"/>
                <w:i/>
                <w:iCs/>
                <w:szCs w:val="22"/>
              </w:rPr>
              <w:t xml:space="preserve">Průběžné hodnocení odpovídá stavu v době škálování – hodnocení </w:t>
            </w:r>
            <w:r w:rsidR="004A65D3" w:rsidRPr="004A65D3">
              <w:rPr>
                <w:rFonts w:ascii="Arial" w:hAnsi="Arial" w:cs="Arial"/>
                <w:i/>
                <w:iCs/>
                <w:szCs w:val="22"/>
              </w:rPr>
              <w:t>B</w:t>
            </w:r>
            <w:r w:rsidRPr="00AE4733">
              <w:rPr>
                <w:rFonts w:ascii="Arial" w:hAnsi="Arial" w:cs="Arial"/>
                <w:i/>
                <w:iCs/>
                <w:szCs w:val="22"/>
              </w:rPr>
              <w:t xml:space="preserve"> </w:t>
            </w:r>
          </w:p>
          <w:p w14:paraId="6DCAFB2F" w14:textId="77777777" w:rsidR="00AE4733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3F33ED07" w14:textId="77777777" w:rsidR="00AE4733" w:rsidRPr="002C775D" w:rsidRDefault="00AE4733" w:rsidP="009503AA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245678BF" w14:textId="77777777" w:rsidR="0046008B" w:rsidRPr="002C775D" w:rsidRDefault="0046008B" w:rsidP="009503AA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B088B23" w14:textId="7C8C81CC" w:rsidR="00774429" w:rsidRDefault="00774429" w:rsidP="009503AA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774429" w:rsidRPr="00143C96" w14:paraId="721B1847" w14:textId="77777777" w:rsidTr="0046008B">
        <w:trPr>
          <w:trHeight w:val="255"/>
          <w:jc w:val="center"/>
        </w:trPr>
        <w:tc>
          <w:tcPr>
            <w:tcW w:w="2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17179F" w14:textId="181518D2" w:rsidR="00774429" w:rsidRPr="00DB5CDA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5 Strategie a koncepce C</w:t>
            </w:r>
          </w:p>
        </w:tc>
        <w:tc>
          <w:tcPr>
            <w:tcW w:w="7157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9B4313" w14:textId="77777777" w:rsidR="00774429" w:rsidRDefault="00283880" w:rsidP="009503AA">
            <w:pPr>
              <w:jc w:val="both"/>
              <w:rPr>
                <w:rFonts w:ascii="Arial" w:hAnsi="Arial" w:cs="Arial"/>
              </w:rPr>
            </w:pPr>
            <w:r w:rsidRPr="002C775D">
              <w:rPr>
                <w:rFonts w:ascii="Arial" w:hAnsi="Arial" w:cs="Arial"/>
                <w:color w:val="000000" w:themeColor="text1"/>
              </w:rPr>
              <w:t xml:space="preserve">VO má definovánu misi a vizi v oblasti </w:t>
            </w:r>
            <w:proofErr w:type="spellStart"/>
            <w:r w:rsidRPr="002C775D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2C775D">
              <w:rPr>
                <w:rFonts w:ascii="Arial" w:hAnsi="Arial" w:cs="Arial"/>
                <w:color w:val="000000" w:themeColor="text1"/>
              </w:rPr>
              <w:t xml:space="preserve"> a v obecné rovině deklaruje hlavní aspekty koncepce dalšího rozvoje a hlavní cíl. Uvádí konkrétní nástroje, kterými těchto cílů dosáhnout a konkrétní indikátory pokroku umožňující průběžně vyhodnocovat míru jejich naplnění. Následují dílčí cíle umožňují vytvoření obrazu klíčových výzkumných aktivit VO, a potvrzují dostatečné personální zajištění pro jejich realizaci. Bohužel kvalita výsledků, kterých již bylo v daných oblastech dosaženo je v některých případech nehodnotitelná, u většiny dílčích cílů doposud nebylo dosaženo žádného výsledku a jsou tedy spíše vizí do budoucna</w:t>
            </w:r>
            <w:r>
              <w:rPr>
                <w:rFonts w:ascii="Arial" w:hAnsi="Arial" w:cs="Arial"/>
                <w:color w:val="000000" w:themeColor="text1"/>
              </w:rPr>
              <w:t xml:space="preserve">, což je zásadní slabina koncepce a deklarované výzkumné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>fokusace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VO. </w:t>
            </w:r>
            <w:proofErr w:type="spellStart"/>
            <w:r w:rsidR="004527C2">
              <w:rPr>
                <w:rFonts w:ascii="Arial" w:hAnsi="Arial" w:cs="Arial"/>
                <w:color w:val="000000" w:themeColor="text1"/>
              </w:rPr>
              <w:t>FNBu</w:t>
            </w:r>
            <w:proofErr w:type="spellEnd"/>
            <w:r w:rsidR="004527C2">
              <w:rPr>
                <w:rFonts w:ascii="Arial" w:hAnsi="Arial" w:cs="Arial"/>
                <w:color w:val="000000" w:themeColor="text1"/>
              </w:rPr>
              <w:t xml:space="preserve"> z</w:t>
            </w:r>
            <w:r w:rsidRPr="002C775D">
              <w:rPr>
                <w:rFonts w:ascii="Arial" w:hAnsi="Arial" w:cs="Arial"/>
                <w:color w:val="000000" w:themeColor="text1"/>
              </w:rPr>
              <w:t xml:space="preserve">de měla volit spíše oblasti, ve kterých má již prokazatelnou historii a je výzkumně etablovaná a rozpoznaná. </w:t>
            </w:r>
            <w:r w:rsidRPr="002C775D">
              <w:rPr>
                <w:rFonts w:ascii="Arial" w:hAnsi="Arial" w:cs="Arial"/>
              </w:rPr>
              <w:t xml:space="preserve">Návaznost aktivit VO na národní a EU strategické dokumenty je definována a potvrzuje soulad </w:t>
            </w:r>
            <w:proofErr w:type="spellStart"/>
            <w:r w:rsidRPr="002C775D">
              <w:rPr>
                <w:rFonts w:ascii="Arial" w:hAnsi="Arial" w:cs="Arial"/>
              </w:rPr>
              <w:t>VaVaI</w:t>
            </w:r>
            <w:proofErr w:type="spellEnd"/>
            <w:r w:rsidRPr="002C775D">
              <w:rPr>
                <w:rFonts w:ascii="Arial" w:hAnsi="Arial" w:cs="Arial"/>
              </w:rPr>
              <w:t xml:space="preserve"> činností VO s těmito strategiemi.</w:t>
            </w:r>
            <w:r>
              <w:rPr>
                <w:rFonts w:ascii="Arial" w:hAnsi="Arial" w:cs="Arial"/>
              </w:rPr>
              <w:t xml:space="preserve"> Celkově je strategie a koncepce VO hodnocena jako průměrná (C).</w:t>
            </w:r>
          </w:p>
          <w:p w14:paraId="13414428" w14:textId="560D05E8" w:rsidR="004A65D3" w:rsidRDefault="004A65D3" w:rsidP="009503AA">
            <w:pPr>
              <w:jc w:val="both"/>
              <w:rPr>
                <w:rFonts w:ascii="Arial" w:hAnsi="Arial" w:cs="Arial"/>
              </w:rPr>
            </w:pPr>
          </w:p>
          <w:p w14:paraId="44C6BD95" w14:textId="77777777" w:rsidR="004A65D3" w:rsidRDefault="004A65D3" w:rsidP="009503AA">
            <w:pPr>
              <w:jc w:val="both"/>
              <w:rPr>
                <w:rFonts w:ascii="Arial" w:hAnsi="Arial" w:cs="Arial"/>
              </w:rPr>
            </w:pPr>
          </w:p>
          <w:p w14:paraId="4D08528A" w14:textId="53E3D4A5" w:rsidR="00AE4733" w:rsidRPr="004A65D3" w:rsidRDefault="00AE4733" w:rsidP="009503AA">
            <w:pPr>
              <w:jc w:val="both"/>
              <w:rPr>
                <w:rFonts w:ascii="Arial" w:hAnsi="Arial" w:cs="Arial"/>
                <w:i/>
                <w:iCs/>
              </w:rPr>
            </w:pPr>
            <w:r w:rsidRPr="004A65D3">
              <w:rPr>
                <w:rFonts w:ascii="Arial" w:hAnsi="Arial" w:cs="Arial"/>
                <w:i/>
                <w:iCs/>
              </w:rPr>
              <w:t xml:space="preserve">FNNB má vypracovanou obecnou koncepci, misi a vizi </w:t>
            </w:r>
            <w:proofErr w:type="gramStart"/>
            <w:r w:rsidRPr="004A65D3">
              <w:rPr>
                <w:rFonts w:ascii="Arial" w:hAnsi="Arial" w:cs="Arial"/>
                <w:i/>
                <w:iCs/>
              </w:rPr>
              <w:t>v  oblasti</w:t>
            </w:r>
            <w:proofErr w:type="gramEnd"/>
            <w:r w:rsidRPr="004A65D3">
              <w:rPr>
                <w:rFonts w:ascii="Arial" w:hAnsi="Arial" w:cs="Arial"/>
                <w:i/>
                <w:iCs/>
              </w:rPr>
              <w:t xml:space="preserve"> lékařských věd a zdravotnického </w:t>
            </w:r>
            <w:proofErr w:type="spellStart"/>
            <w:r w:rsidRPr="004A65D3">
              <w:rPr>
                <w:rFonts w:ascii="Arial" w:hAnsi="Arial" w:cs="Arial"/>
                <w:i/>
                <w:iCs/>
              </w:rPr>
              <w:t>VaVaI</w:t>
            </w:r>
            <w:proofErr w:type="spellEnd"/>
            <w:r w:rsidRPr="004A65D3">
              <w:rPr>
                <w:rFonts w:ascii="Arial" w:hAnsi="Arial" w:cs="Arial"/>
                <w:i/>
                <w:iCs/>
              </w:rPr>
              <w:t xml:space="preserve"> v 8 dílčích programech včetně návaznosti na národní strategické dokumenty, které hodnotí</w:t>
            </w:r>
            <w:r w:rsidR="004A65D3" w:rsidRPr="004A65D3">
              <w:rPr>
                <w:rFonts w:ascii="Arial" w:hAnsi="Arial" w:cs="Arial"/>
                <w:i/>
                <w:iCs/>
              </w:rPr>
              <w:t>. U většiny projektů však ještě nebylo dosaženo žádných zřejmých výsledků.</w:t>
            </w:r>
          </w:p>
          <w:p w14:paraId="6CA04ED4" w14:textId="77777777" w:rsidR="00AE4733" w:rsidRPr="004A65D3" w:rsidRDefault="00AE4733" w:rsidP="009503AA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450A9C7A" w14:textId="0F0007C8" w:rsidR="00AE4733" w:rsidRPr="00AE4733" w:rsidRDefault="00AE4733" w:rsidP="009503AA">
            <w:pPr>
              <w:jc w:val="both"/>
              <w:rPr>
                <w:rFonts w:ascii="Arial" w:hAnsi="Arial" w:cs="Arial"/>
                <w:i/>
                <w:iCs/>
              </w:rPr>
            </w:pPr>
            <w:r w:rsidRPr="00AE4733">
              <w:rPr>
                <w:rFonts w:ascii="Arial" w:hAnsi="Arial" w:cs="Arial"/>
                <w:i/>
                <w:iCs/>
              </w:rPr>
              <w:t>Průběžné hodnocení odpovídá stavu v době škálování</w:t>
            </w:r>
            <w:r w:rsidR="004A65D3" w:rsidRPr="004A65D3">
              <w:rPr>
                <w:rFonts w:ascii="Arial" w:hAnsi="Arial" w:cs="Arial"/>
                <w:i/>
                <w:iCs/>
              </w:rPr>
              <w:t xml:space="preserve"> </w:t>
            </w:r>
            <w:r w:rsidRPr="00AE4733">
              <w:rPr>
                <w:rFonts w:ascii="Arial" w:hAnsi="Arial" w:cs="Arial"/>
                <w:i/>
                <w:iCs/>
              </w:rPr>
              <w:t xml:space="preserve">– hodnocení </w:t>
            </w:r>
            <w:r w:rsidR="004A65D3" w:rsidRPr="004A65D3">
              <w:rPr>
                <w:rFonts w:ascii="Arial" w:hAnsi="Arial" w:cs="Arial"/>
                <w:i/>
                <w:iCs/>
              </w:rPr>
              <w:t>C</w:t>
            </w:r>
            <w:r w:rsidRPr="00AE4733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50F214F7" w14:textId="5A7998A0" w:rsidR="00AE4733" w:rsidRPr="00283880" w:rsidRDefault="00AE4733" w:rsidP="009503AA">
            <w:pPr>
              <w:jc w:val="both"/>
              <w:rPr>
                <w:rFonts w:ascii="Arial" w:hAnsi="Arial" w:cs="Arial"/>
              </w:rPr>
            </w:pPr>
          </w:p>
        </w:tc>
      </w:tr>
      <w:tr w:rsidR="00774429" w:rsidRPr="001F0B21" w14:paraId="705B5EDE" w14:textId="77777777" w:rsidTr="0046008B">
        <w:trPr>
          <w:trHeight w:val="265"/>
          <w:jc w:val="center"/>
        </w:trPr>
        <w:tc>
          <w:tcPr>
            <w:tcW w:w="26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E0F713" w14:textId="77777777" w:rsidR="00774429" w:rsidRPr="00DB5CDA" w:rsidRDefault="00774429" w:rsidP="009503AA">
            <w:pPr>
              <w:pStyle w:val="Zhlav"/>
              <w:jc w:val="both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5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7338EB" w14:textId="77777777" w:rsidR="00774429" w:rsidRPr="001F0B21" w:rsidRDefault="00774429" w:rsidP="009503A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07ABF81D" w14:textId="77777777" w:rsidR="00700368" w:rsidRDefault="00700368" w:rsidP="009503AA">
      <w:pPr>
        <w:jc w:val="both"/>
      </w:pPr>
    </w:p>
    <w:sectPr w:rsidR="00700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1557B6"/>
    <w:rsid w:val="00283880"/>
    <w:rsid w:val="002D55C6"/>
    <w:rsid w:val="0034701A"/>
    <w:rsid w:val="004527C2"/>
    <w:rsid w:val="0046008B"/>
    <w:rsid w:val="004637EE"/>
    <w:rsid w:val="004829A8"/>
    <w:rsid w:val="004A65D3"/>
    <w:rsid w:val="004C4C60"/>
    <w:rsid w:val="004C5509"/>
    <w:rsid w:val="004C7431"/>
    <w:rsid w:val="004C7D3F"/>
    <w:rsid w:val="006053AA"/>
    <w:rsid w:val="0063536C"/>
    <w:rsid w:val="0065542B"/>
    <w:rsid w:val="006700BE"/>
    <w:rsid w:val="00700368"/>
    <w:rsid w:val="00774429"/>
    <w:rsid w:val="00791517"/>
    <w:rsid w:val="00796777"/>
    <w:rsid w:val="007F2720"/>
    <w:rsid w:val="008D3DF2"/>
    <w:rsid w:val="00936696"/>
    <w:rsid w:val="009503AA"/>
    <w:rsid w:val="00966EAC"/>
    <w:rsid w:val="00972899"/>
    <w:rsid w:val="009C7D43"/>
    <w:rsid w:val="00AE4733"/>
    <w:rsid w:val="00BA52DF"/>
    <w:rsid w:val="00CB2E83"/>
    <w:rsid w:val="00D74552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7003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locked/>
    <w:rsid w:val="00700368"/>
  </w:style>
  <w:style w:type="paragraph" w:customStyle="1" w:styleId="Zkladntext1">
    <w:name w:val="Základní text1"/>
    <w:basedOn w:val="Normln"/>
    <w:link w:val="Zkladntext"/>
    <w:rsid w:val="00700368"/>
    <w:pPr>
      <w:spacing w:after="320" w:line="264" w:lineRule="auto"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customStyle="1" w:styleId="markedcontent">
    <w:name w:val="markedcontent"/>
    <w:basedOn w:val="Standardnpsmoodstavce"/>
    <w:rsid w:val="00700368"/>
  </w:style>
  <w:style w:type="character" w:customStyle="1" w:styleId="Nadpis3Char">
    <w:name w:val="Nadpis 3 Char"/>
    <w:basedOn w:val="Standardnpsmoodstavce"/>
    <w:link w:val="Nadpis3"/>
    <w:uiPriority w:val="9"/>
    <w:rsid w:val="00700368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1526</Words>
  <Characters>9004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Office365 deploy</Company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3</cp:revision>
  <dcterms:created xsi:type="dcterms:W3CDTF">2024-12-08T19:04:00Z</dcterms:created>
  <dcterms:modified xsi:type="dcterms:W3CDTF">2025-01-02T10:39:00Z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2024-12-08T19:04:17Z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dec300d6-290a-4d65-bf48-f3d5bf186972</vt:lpwstr>
  </property>
  <property fmtid="{D5CDD505-2E9C-101B-9397-08002B2CF9AE}" pid="8" name="MSIP_Label_2063cd7f-2d21-486a-9f29-9c1683fdd175_ContentBits">
    <vt:lpwstr>0</vt:lpwstr>
  </property>
</Properties>
</file>